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89FD8" w14:textId="77777777" w:rsidR="00832A40" w:rsidRPr="00CC66FD" w:rsidRDefault="00832A40" w:rsidP="00832A40">
      <w:pPr>
        <w:rPr>
          <w:rFonts w:ascii="Open Sans" w:hAnsi="Open Sans" w:cs="Open Sans"/>
          <w:b/>
          <w:sz w:val="20"/>
          <w:szCs w:val="20"/>
        </w:rPr>
      </w:pPr>
    </w:p>
    <w:p w14:paraId="11E8EE80" w14:textId="2CEB5CF5" w:rsidR="00832A40" w:rsidRPr="00CC66FD" w:rsidRDefault="00832A40" w:rsidP="00832A40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CC66FD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0CFDF025" wp14:editId="04F2688D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C66FD">
        <w:rPr>
          <w:rFonts w:ascii="Open Sans" w:hAnsi="Open Sans" w:cs="Open Sans"/>
          <w:b/>
          <w:sz w:val="28"/>
        </w:rPr>
        <w:t xml:space="preserve"> SEVENTH GRADE SCIENCE INSTRUCTIONAL MATERIALS SCREENING INSTRUMENT</w:t>
      </w:r>
    </w:p>
    <w:p w14:paraId="30124D7D" w14:textId="77777777" w:rsidR="00832A40" w:rsidRPr="00CC66FD" w:rsidRDefault="00832A40" w:rsidP="00832A40">
      <w:pPr>
        <w:rPr>
          <w:rFonts w:ascii="Open Sans" w:hAnsi="Open Sans" w:cs="Open Sans"/>
          <w:b/>
          <w:sz w:val="20"/>
          <w:szCs w:val="20"/>
        </w:rPr>
      </w:pPr>
    </w:p>
    <w:p w14:paraId="49337599" w14:textId="77777777" w:rsidR="00832A40" w:rsidRPr="00CC66FD" w:rsidRDefault="00832A40" w:rsidP="00832A40">
      <w:pPr>
        <w:rPr>
          <w:rFonts w:ascii="Open Sans" w:hAnsi="Open Sans" w:cs="Open Sans"/>
          <w:b/>
          <w:sz w:val="24"/>
          <w:szCs w:val="24"/>
        </w:rPr>
      </w:pPr>
      <w:r w:rsidRPr="00CC66FD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56334978" w14:textId="77777777" w:rsidR="00832A40" w:rsidRPr="00CC66FD" w:rsidRDefault="00832A40" w:rsidP="00832A40">
      <w:pPr>
        <w:rPr>
          <w:rFonts w:ascii="Open Sans" w:hAnsi="Open Sans" w:cs="Open Sans"/>
          <w:i/>
          <w:sz w:val="24"/>
          <w:szCs w:val="24"/>
        </w:rPr>
      </w:pPr>
      <w:r w:rsidRPr="00CC66FD">
        <w:rPr>
          <w:rFonts w:ascii="Open Sans" w:hAnsi="Open Sans" w:cs="Open Sans"/>
          <w:i/>
          <w:sz w:val="24"/>
          <w:szCs w:val="24"/>
        </w:rPr>
        <w:t xml:space="preserve">All submissions must be aligned to the Tennessee Science Standards and therefore must meet the non-negotiable criteria of Section I prior to moving to Section II. </w:t>
      </w:r>
    </w:p>
    <w:p w14:paraId="5F10BFD4" w14:textId="08966719" w:rsidR="00832A40" w:rsidRPr="00CC66FD" w:rsidRDefault="00832A40" w:rsidP="00832A40">
      <w:pPr>
        <w:rPr>
          <w:rFonts w:ascii="Open Sans" w:hAnsi="Open Sans" w:cs="Open Sans"/>
          <w:b/>
          <w:sz w:val="20"/>
          <w:szCs w:val="20"/>
        </w:rPr>
      </w:pPr>
      <w:r w:rsidRPr="00CC66FD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CC66FD">
        <w:rPr>
          <w:rFonts w:ascii="Open Sans" w:hAnsi="Open Sans" w:cs="Open Sans"/>
          <w:sz w:val="24"/>
          <w:szCs w:val="24"/>
        </w:rPr>
        <w:t>Evaluators</w:t>
      </w:r>
      <w:r w:rsidRPr="00CC66FD">
        <w:rPr>
          <w:rFonts w:ascii="Open Sans" w:hAnsi="Open Sans" w:cs="Open Sans"/>
          <w:i/>
          <w:sz w:val="24"/>
          <w:szCs w:val="24"/>
        </w:rPr>
        <w:t xml:space="preserve"> </w:t>
      </w:r>
      <w:r w:rsidRPr="00CC66FD">
        <w:rPr>
          <w:rFonts w:ascii="Open Sans" w:eastAsia="Times New Roman" w:hAnsi="Open Sans" w:cs="Open Sans"/>
          <w:sz w:val="24"/>
          <w:szCs w:val="24"/>
        </w:rPr>
        <w:t>of materials must be well versed in the standards for the grade/course(s) aligned to the materials in question, how the content fits into the progressions in the content standards, and the expectations of the standards.</w:t>
      </w:r>
    </w:p>
    <w:p w14:paraId="5D240407" w14:textId="77777777" w:rsidR="00EB30B0" w:rsidRDefault="00EB30B0">
      <w:pPr>
        <w:rPr>
          <w:rFonts w:ascii="Open Sans" w:hAnsi="Open Sans" w:cs="Open Sans"/>
          <w:b/>
          <w:sz w:val="20"/>
          <w:szCs w:val="20"/>
        </w:rPr>
      </w:pPr>
      <w:r>
        <w:rPr>
          <w:rFonts w:ascii="Open Sans" w:hAnsi="Open Sans" w:cs="Open Sans"/>
          <w:b/>
          <w:sz w:val="20"/>
          <w:szCs w:val="20"/>
        </w:rPr>
        <w:br w:type="page"/>
      </w:r>
    </w:p>
    <w:p w14:paraId="1E138766" w14:textId="691B7352" w:rsidR="00121D82" w:rsidRPr="00CC66FD" w:rsidRDefault="00F2287C" w:rsidP="00121D82">
      <w:pPr>
        <w:rPr>
          <w:rFonts w:ascii="Open Sans" w:hAnsi="Open Sans" w:cs="Open Sans"/>
          <w:b/>
          <w:sz w:val="20"/>
          <w:szCs w:val="20"/>
        </w:rPr>
      </w:pPr>
      <w:bookmarkStart w:id="0" w:name="_GoBack"/>
      <w:bookmarkEnd w:id="0"/>
      <w:r w:rsidRPr="00CC66FD">
        <w:rPr>
          <w:rFonts w:ascii="Open Sans" w:hAnsi="Open Sans" w:cs="Open Sans"/>
          <w:b/>
          <w:sz w:val="20"/>
          <w:szCs w:val="20"/>
        </w:rPr>
        <w:lastRenderedPageBreak/>
        <w:t>SEVENTH</w:t>
      </w:r>
      <w:r w:rsidR="0054330A" w:rsidRPr="00CC66FD">
        <w:rPr>
          <w:rFonts w:ascii="Open Sans" w:hAnsi="Open Sans" w:cs="Open Sans"/>
          <w:b/>
          <w:sz w:val="20"/>
          <w:szCs w:val="20"/>
        </w:rPr>
        <w:t xml:space="preserve"> GRADE</w:t>
      </w:r>
      <w:r w:rsidR="0054330A" w:rsidRPr="00CC66FD">
        <w:rPr>
          <w:rFonts w:ascii="Open Sans" w:hAnsi="Open Sans" w:cs="Open Sans"/>
          <w:b/>
          <w:sz w:val="20"/>
          <w:szCs w:val="20"/>
        </w:rPr>
        <w:br/>
      </w:r>
      <w:r w:rsidR="00121D82" w:rsidRPr="00CC66FD">
        <w:rPr>
          <w:rFonts w:ascii="Open Sans" w:hAnsi="Open Sans" w:cs="Open Sans"/>
          <w:b/>
          <w:sz w:val="20"/>
          <w:szCs w:val="20"/>
        </w:rPr>
        <w:t>SECTION I: NON-NEGOTIABLE ALIGNMENT CRITERIA</w:t>
      </w:r>
    </w:p>
    <w:p w14:paraId="6E3E1457" w14:textId="77777777" w:rsidR="00121D82" w:rsidRPr="00CC66FD" w:rsidRDefault="00121D82" w:rsidP="00121D82">
      <w:pPr>
        <w:rPr>
          <w:rFonts w:ascii="Open Sans" w:hAnsi="Open Sans" w:cs="Open Sans"/>
          <w:i/>
          <w:sz w:val="20"/>
          <w:szCs w:val="20"/>
        </w:rPr>
      </w:pPr>
      <w:r w:rsidRPr="00CC66FD">
        <w:rPr>
          <w:rFonts w:ascii="Open Sans" w:hAnsi="Open Sans" w:cs="Open Sans"/>
          <w:i/>
          <w:sz w:val="20"/>
          <w:szCs w:val="20"/>
        </w:rPr>
        <w:t xml:space="preserve">All submissions must be aligned to the Tennessee State Science Standards and therefore must meet 100% of the non-negotiable criteria of Section I prior to moving to Section II.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CC66FD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7777777" w:rsidR="007B491C" w:rsidRPr="00CC66FD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3507B3C6" w14:textId="77777777" w:rsidR="007B491C" w:rsidRPr="00CC66FD" w:rsidRDefault="007B491C" w:rsidP="007B491C">
            <w:pPr>
              <w:rPr>
                <w:rFonts w:ascii="Open Sans" w:hAnsi="Open Sans" w:cs="Open Sans"/>
              </w:rPr>
            </w:pPr>
          </w:p>
          <w:p w14:paraId="03887698" w14:textId="77777777" w:rsidR="007B491C" w:rsidRPr="00CC66FD" w:rsidRDefault="007B491C" w:rsidP="007B491C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Science Standards and explicitly focus teaching and learning on the grade level standards and disciplinary core ideas (DCIs) at a level of rigor necessary for students to reach mastery:</w:t>
            </w:r>
          </w:p>
        </w:tc>
      </w:tr>
      <w:tr w:rsidR="007B491C" w:rsidRPr="00CC66FD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691D4FFC" w:rsidR="007B491C" w:rsidRPr="00CC66FD" w:rsidRDefault="0096475C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7.PS1: Matter and Its Interactions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C66FD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50810E11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29CEEC5" w14:textId="611A491F" w:rsidR="007B6417" w:rsidRPr="00CC66FD" w:rsidRDefault="0096475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Develop and use models to illustrate the structure of atoms, including the subatomic particles with their relative positions and charge. </w:t>
            </w:r>
          </w:p>
          <w:p w14:paraId="02729C3A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6F728DEE" w14:textId="77777777" w:rsidTr="007B491C">
        <w:trPr>
          <w:cantSplit/>
          <w:jc w:val="center"/>
        </w:trPr>
        <w:tc>
          <w:tcPr>
            <w:tcW w:w="2103" w:type="pct"/>
          </w:tcPr>
          <w:p w14:paraId="6A4B96E9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0E9682B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2) Compare and contrast elemental molecules and compound molecules. </w:t>
            </w:r>
          </w:p>
          <w:p w14:paraId="641FFEF9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857C6F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E039055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9C4D6D5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5D76F5D1" w14:textId="77777777" w:rsidTr="007B491C">
        <w:trPr>
          <w:cantSplit/>
          <w:jc w:val="center"/>
        </w:trPr>
        <w:tc>
          <w:tcPr>
            <w:tcW w:w="2103" w:type="pct"/>
          </w:tcPr>
          <w:p w14:paraId="5DD4DDE2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A510E6D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3) Classify matter as pure substances or mixtures based on composition. </w:t>
            </w:r>
          </w:p>
          <w:p w14:paraId="7F383FAB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BEF862C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EFB13FD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13A87C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57095D5D" w14:textId="77777777" w:rsidTr="007B491C">
        <w:trPr>
          <w:cantSplit/>
          <w:jc w:val="center"/>
        </w:trPr>
        <w:tc>
          <w:tcPr>
            <w:tcW w:w="2103" w:type="pct"/>
          </w:tcPr>
          <w:p w14:paraId="76C9ECCD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B8E78DF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4) Analyze and interpret chemical reactions to determine if the total number of atoms in the reactants and products support the Law of Conservation of Mass. </w:t>
            </w:r>
          </w:p>
          <w:p w14:paraId="442F2CF0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0DBDC0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D943D59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B026C80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5294A592" w14:textId="77777777" w:rsidTr="007B491C">
        <w:trPr>
          <w:cantSplit/>
          <w:jc w:val="center"/>
        </w:trPr>
        <w:tc>
          <w:tcPr>
            <w:tcW w:w="2103" w:type="pct"/>
          </w:tcPr>
          <w:p w14:paraId="593A4655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BA921CB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5) Use the periodic table as a model to analyze and interpret evidence relating to physical and chemical properties to identify a sample of matter. </w:t>
            </w:r>
          </w:p>
          <w:p w14:paraId="35827F4C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A5A48B2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4A3B67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79B0ED4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659EBAA0" w14:textId="77777777" w:rsidTr="007B491C">
        <w:trPr>
          <w:cantSplit/>
          <w:jc w:val="center"/>
        </w:trPr>
        <w:tc>
          <w:tcPr>
            <w:tcW w:w="2103" w:type="pct"/>
          </w:tcPr>
          <w:p w14:paraId="3F7BA1D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4FD9C17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6) Create and interpret models of substances whose atoms represent the states of matter with respect to temperature and pressure. </w:t>
            </w:r>
          </w:p>
          <w:p w14:paraId="5C34E6D6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488821F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3F4CC0F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1452B66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CC66FD" w14:paraId="56BD317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1059DB0D" w:rsidR="007B491C" w:rsidRPr="00CC66FD" w:rsidRDefault="0096475C" w:rsidP="007B491C">
            <w:pPr>
              <w:pStyle w:val="Body"/>
              <w:tabs>
                <w:tab w:val="left" w:pos="360"/>
              </w:tabs>
              <w:spacing w:line="276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7.LS1: From Molecules to Organisms: Structures and Processes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C66FD" w14:paraId="7C2918A8" w14:textId="77777777" w:rsidTr="007B491C">
        <w:trPr>
          <w:cantSplit/>
          <w:jc w:val="center"/>
        </w:trPr>
        <w:tc>
          <w:tcPr>
            <w:tcW w:w="2103" w:type="pct"/>
          </w:tcPr>
          <w:p w14:paraId="697CCAFA" w14:textId="77777777" w:rsidR="0096475C" w:rsidRPr="00CC66FD" w:rsidRDefault="007B491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7383C8AF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Develop and construct models that identify and explain the structure and function of major cell organelles as they contribute to the life activities of the cell and organism. </w:t>
            </w:r>
          </w:p>
          <w:p w14:paraId="67C32B72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5669359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CC66FD" w14:paraId="4B82950D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7242DC83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ECAB209" w14:textId="259A6D72" w:rsidR="007B6417" w:rsidRPr="00CC66FD" w:rsidRDefault="0096475C" w:rsidP="007B6417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2) Conduct an investigation to demonstrate how the cell membrane maintains homeostasis through the process of passive transport. </w:t>
            </w:r>
          </w:p>
          <w:p w14:paraId="6B236DC2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9368A1C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54F51949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4084B347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DDE895A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3) Evaluate evidence that cells have structural similarities and differences in organisms across kingdoms. </w:t>
            </w:r>
          </w:p>
          <w:p w14:paraId="49C59B75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CE9B3E4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CA70A3E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F40D340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27128784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C721F8A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130C547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4) Diagram the hierarchical organization of multicellular organisms from cells to organism. </w:t>
            </w:r>
          </w:p>
          <w:p w14:paraId="3EFA54CD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49414F7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FF50F10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74FAFA7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5AA79433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11041A3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7B2D2D2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5) Explain that the body is a system comprised of subsystems that maintain equilibrium and support life through digestion, respiration, excretion, circulation, sensation (nervous and integumentary), and locomotion (musculoskeletal). </w:t>
            </w:r>
          </w:p>
          <w:p w14:paraId="5C78DCA2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23B51ED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66C54AC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4F94A6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68566579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7D0913C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760A168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6) Develop an argument based on empirical evidence and scientific reasoning to explain how behavioral and structural adaptations in animals and plants affect the probability of survival and reproductive success. </w:t>
            </w:r>
          </w:p>
          <w:p w14:paraId="4E5D95B9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745AA4D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6A352D8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2AE008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25B3C831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C6994B9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97B3C60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7) Evaluate and communicate evidence that compares and contrasts the advantages and disadvantages of sexual and asexual reproduction. </w:t>
            </w:r>
          </w:p>
          <w:p w14:paraId="6CE57075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9183616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0DFADF3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02139D0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15B07B82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6A5BC6A6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DE0B421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8) Construct an explanation demonstrating that the function of mitosis for multicellular organisms is for growth and repair through the production of genetically identical daughter cells. </w:t>
            </w:r>
          </w:p>
          <w:p w14:paraId="126E8AE9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5D3C2D2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7E5B248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1F52C47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475C" w:rsidRPr="00CC66FD" w14:paraId="6FFE9450" w14:textId="77777777" w:rsidTr="007B491C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111E8CC5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C0B12F1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9) Construct a scientific explanation based on compiled evidence for the processes of photosynthesis, cellular respiration, and anaerobic respiration in the cycling of matter and flow of energy into and out of organisms. </w:t>
            </w:r>
          </w:p>
          <w:p w14:paraId="6B2810A4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7B134CED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E7B08EC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41122412" w14:textId="77777777" w:rsidR="0096475C" w:rsidRPr="00CC66FD" w:rsidRDefault="0096475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CC66FD" w14:paraId="69885C8C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2FE29C4A" w:rsidR="007B491C" w:rsidRPr="00CC66FD" w:rsidRDefault="0096475C" w:rsidP="00A341BE">
            <w:pPr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7.LS2: Ecosystems: Interactions, Energy, and Dynamics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CC66FD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C66FD" w14:paraId="5E9DCC9B" w14:textId="77777777" w:rsidTr="007B491C">
        <w:trPr>
          <w:cantSplit/>
          <w:jc w:val="center"/>
        </w:trPr>
        <w:tc>
          <w:tcPr>
            <w:tcW w:w="2103" w:type="pct"/>
            <w:vAlign w:val="center"/>
          </w:tcPr>
          <w:p w14:paraId="645D32C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67301F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Develop a model to depict the cycling of matter, including carbon and oxygen, including the flow of energy among biotic and abiotic parts of an ecosystem. </w:t>
            </w:r>
          </w:p>
          <w:p w14:paraId="3E9C9B13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18F5FEE6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B491C" w:rsidRPr="00CC66FD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CC66FD" w14:paraId="317E109A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6BF34CB" w14:textId="65206276" w:rsidR="007B491C" w:rsidRPr="00CC66FD" w:rsidRDefault="0096475C" w:rsidP="007B491C">
            <w:pPr>
              <w:keepNext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7.LS3: Heredity: Inheritance and Variation of Traits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0592B75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07E50DEF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795448E9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CC66FD" w14:paraId="2DD72CA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49BE1A0F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CFA7BB5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Hypothesize that the impact of structural changes to genes (i.e., mutations) located on chromosomes may result in harmful, beneficial, or neutral effects to the structure and function of the organism. </w:t>
            </w:r>
          </w:p>
          <w:p w14:paraId="0C8D25A6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4F48E2" w:rsidRPr="00CC66FD" w14:paraId="7B42E96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3BE099DF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7BCF5D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2) Distinguish between mitosis and meiosis and compare the resulting daughter cells. </w:t>
            </w:r>
          </w:p>
          <w:p w14:paraId="345ED76E" w14:textId="77777777" w:rsidR="007B491C" w:rsidRPr="00CC66FD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57B65A3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59F6ED6A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0FED51F" w14:textId="77777777" w:rsidR="007B491C" w:rsidRPr="00CC66FD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6475C" w:rsidRPr="00CC66FD" w14:paraId="0B9B5191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49372842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64103900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3) Predict the probability of individual dominant and recessive alleles to be transmitted from each parent to offspring during sexual reproduction and represent the phenotypic and genotypic patterns using ratios. </w:t>
            </w:r>
          </w:p>
          <w:p w14:paraId="624024EC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51D558E9" w14:textId="77777777" w:rsidR="0096475C" w:rsidRPr="00CC66FD" w:rsidRDefault="0096475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0C0C10F" w14:textId="77777777" w:rsidR="0096475C" w:rsidRPr="00CC66FD" w:rsidRDefault="0096475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7DBB0AD4" w14:textId="77777777" w:rsidR="0096475C" w:rsidRPr="00CC66FD" w:rsidRDefault="0096475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5410E" w:rsidRPr="00CC66FD" w14:paraId="5264B551" w14:textId="77777777" w:rsidTr="00E5410E">
        <w:trPr>
          <w:cantSplit/>
          <w:jc w:val="center"/>
        </w:trPr>
        <w:tc>
          <w:tcPr>
            <w:tcW w:w="2103" w:type="pct"/>
            <w:shd w:val="clear" w:color="auto" w:fill="E7E6E6" w:themeFill="background2"/>
            <w:vAlign w:val="center"/>
          </w:tcPr>
          <w:p w14:paraId="20888189" w14:textId="77777777" w:rsidR="00E5410E" w:rsidRPr="00CC66FD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BB30097" w14:textId="5D67AAB6" w:rsidR="00E5410E" w:rsidRPr="00CC66FD" w:rsidRDefault="0096475C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7.ESS3: Earth and Human Activity</w:t>
            </w:r>
          </w:p>
        </w:tc>
        <w:tc>
          <w:tcPr>
            <w:tcW w:w="489" w:type="pct"/>
            <w:shd w:val="clear" w:color="auto" w:fill="E7E6E6" w:themeFill="background2"/>
          </w:tcPr>
          <w:p w14:paraId="6D2A5EBE" w14:textId="52CC555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E7E6E6" w:themeFill="background2"/>
          </w:tcPr>
          <w:p w14:paraId="0D81A094" w14:textId="47F5C24F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E7E6E6" w:themeFill="background2"/>
          </w:tcPr>
          <w:p w14:paraId="40FA037D" w14:textId="405CFF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E5410E" w:rsidRPr="00CC66FD" w14:paraId="11EE2443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1C74425D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322B923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Graphically represent the composition of the atmosphere as a mixture of gases and discuss the potential for atmospheric change. </w:t>
            </w:r>
          </w:p>
          <w:p w14:paraId="689BFD54" w14:textId="77777777" w:rsidR="00E5410E" w:rsidRPr="00CC66FD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3526BCA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4BFDE9EA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6703A56D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6475C" w:rsidRPr="00CC66FD" w14:paraId="5CA127E2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FE47F22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BEE2E71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2) Engage in a scientific argument through graphing and translating data regarding human activity and climate. </w:t>
            </w:r>
          </w:p>
          <w:p w14:paraId="3B07F94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BF3ED1E" w14:textId="77777777" w:rsidR="0096475C" w:rsidRPr="00CC66FD" w:rsidRDefault="0096475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17DC7DA7" w14:textId="77777777" w:rsidR="0096475C" w:rsidRPr="00CC66FD" w:rsidRDefault="0096475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0CD3CC6" w14:textId="77777777" w:rsidR="0096475C" w:rsidRPr="00CC66FD" w:rsidRDefault="0096475C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E5410E" w:rsidRPr="00CC66FD" w14:paraId="2040679D" w14:textId="77777777" w:rsidTr="00E5410E">
        <w:trPr>
          <w:cantSplit/>
          <w:jc w:val="center"/>
        </w:trPr>
        <w:tc>
          <w:tcPr>
            <w:tcW w:w="2103" w:type="pct"/>
            <w:shd w:val="clear" w:color="auto" w:fill="E7E6E6" w:themeFill="background2"/>
            <w:vAlign w:val="center"/>
          </w:tcPr>
          <w:p w14:paraId="3F2190EC" w14:textId="6B787EE3" w:rsidR="00E5410E" w:rsidRPr="00CC66FD" w:rsidRDefault="0096475C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bCs/>
                <w:sz w:val="20"/>
                <w:szCs w:val="20"/>
              </w:rPr>
              <w:t>7.ETS2: Links Among Engineering, Technology, and Applications of Science</w:t>
            </w:r>
          </w:p>
        </w:tc>
        <w:tc>
          <w:tcPr>
            <w:tcW w:w="489" w:type="pct"/>
            <w:shd w:val="clear" w:color="auto" w:fill="E7E6E6" w:themeFill="background2"/>
          </w:tcPr>
          <w:p w14:paraId="05C17B10" w14:textId="76B55FDA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E7E6E6" w:themeFill="background2"/>
          </w:tcPr>
          <w:p w14:paraId="6A9AD9AB" w14:textId="4B2AEF5A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E7E6E6" w:themeFill="background2"/>
          </w:tcPr>
          <w:p w14:paraId="519D728D" w14:textId="09BF7591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E5410E" w:rsidRPr="00CC66FD" w14:paraId="207255BB" w14:textId="77777777" w:rsidTr="004F48E2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63CE769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2A97E7E" w14:textId="77777777" w:rsidR="0096475C" w:rsidRPr="00CC66FD" w:rsidRDefault="0096475C" w:rsidP="0096475C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1) Examine a problem from the medical field pertaining to biomaterials and design a solution taking into consideration the criteria, constraints, and relevant scientific principles of the problem that may limit possible solutions. </w:t>
            </w:r>
          </w:p>
          <w:p w14:paraId="61A627A2" w14:textId="77777777" w:rsidR="00E5410E" w:rsidRPr="00CC66FD" w:rsidRDefault="00E5410E" w:rsidP="00E5410E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3E4B6C0F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6E7D5F1A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AB6589D" w14:textId="77777777" w:rsidR="00E5410E" w:rsidRPr="00CC66FD" w:rsidRDefault="00E5410E" w:rsidP="00E5410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1961E46D" w14:textId="5E86FB21" w:rsidR="006E0328" w:rsidRPr="00CC66FD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77777777" w:rsidR="009D39A5" w:rsidRPr="00CC66FD" w:rsidRDefault="009D39A5">
      <w:pPr>
        <w:rPr>
          <w:rFonts w:ascii="Open Sans" w:hAnsi="Open Sans" w:cs="Open Sans"/>
        </w:rPr>
      </w:pPr>
      <w:r w:rsidRPr="00CC66FD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CC66FD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6FBF647" w14:textId="77777777" w:rsidR="000779AE" w:rsidRPr="00CC66FD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</w:rPr>
              <w:lastRenderedPageBreak/>
              <w:tab/>
            </w: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Science Standards</w:t>
            </w:r>
          </w:p>
          <w:p w14:paraId="6B23F8C7" w14:textId="77777777" w:rsidR="000779AE" w:rsidRPr="00CC66FD" w:rsidRDefault="000779AE" w:rsidP="000779AE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77777777" w:rsidR="000779AE" w:rsidRPr="00CC66FD" w:rsidRDefault="000779AE" w:rsidP="000779AE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Instruction centers on the DCIs, SEPs, and CCCs at the level articulated within the standards.</w:t>
            </w:r>
          </w:p>
        </w:tc>
      </w:tr>
      <w:tr w:rsidR="007A5307" w:rsidRPr="00CC66FD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CC66FD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CC66FD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CC66FD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CC66FD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CC66FD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CC66FD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CC66FD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59A52C65" w:rsidR="009D39A5" w:rsidRPr="00CC66FD" w:rsidRDefault="009D39A5" w:rsidP="00E9799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: Supports the intertwined three-dimensional nature of the Tennessee State Standards (DCIs, SEPs, CCCs) through the integration of conceptual understandings linked to explanations and empirical investigations within each grade level disciplinary </w:t>
            </w:r>
            <w:r w:rsidR="00E9799C" w:rsidRPr="00CC66FD">
              <w:rPr>
                <w:rFonts w:ascii="Open Sans" w:hAnsi="Open Sans" w:cs="Open Sans"/>
                <w:sz w:val="20"/>
                <w:szCs w:val="20"/>
              </w:rPr>
              <w:t>core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idea (DCI).</w:t>
            </w:r>
          </w:p>
        </w:tc>
      </w:tr>
      <w:tr w:rsidR="007A5307" w:rsidRPr="00CC66FD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CC66FD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CC66FD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7A5307" w:rsidRPr="00CC66FD" w14:paraId="6808559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68A25C56" w14:textId="41EB0FB2" w:rsidR="009D39A5" w:rsidRPr="00CC66FD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Physical Sciences (PS)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CC66FD" w14:paraId="391B8B50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D05FD34" w14:textId="309B3602" w:rsidR="009D39A5" w:rsidRPr="00CC66FD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CC66FD" w14:paraId="44007E4C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56481006" w14:textId="40BF5753" w:rsidR="009D39A5" w:rsidRPr="00CC66FD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CC66FD" w14:paraId="3453B29B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400FB38" w14:textId="7921574E" w:rsidR="009D39A5" w:rsidRPr="00CC66FD" w:rsidRDefault="009D39A5" w:rsidP="009D39A5">
            <w:pPr>
              <w:keepNext/>
              <w:rPr>
                <w:rFonts w:ascii="Open Sans" w:hAnsi="Open Sans" w:cs="Open Sans"/>
                <w:i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CC66FD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CC66FD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CC66FD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CC66FD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CC66FD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CC66FD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1DF1D633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1B32FB4" w14:textId="7ABFF487" w:rsidR="009D39A5" w:rsidRPr="00CC66FD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support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a progression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 xml:space="preserve"> of student competencies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and skills through active engagement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in SEPs and CCCs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continuous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refinement of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knowledge and abilities in each 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DCI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4FD8C13F" w14:textId="56087809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CC66FD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CC66FD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9D39A5" w:rsidRPr="00CC66FD" w14:paraId="01E77757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7E0DEC19" w14:textId="74985AF0" w:rsidR="009D39A5" w:rsidRPr="00CC66FD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Physical Sciences (PS</w:t>
            </w:r>
            <w:r w:rsidR="001C4EE8" w:rsidRPr="00CC66FD">
              <w:rPr>
                <w:rFonts w:ascii="Open Sans" w:hAnsi="Open Sans" w:cs="Open Sans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CC66FD" w14:paraId="08DD7EAE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61C94DC" w14:textId="7FC98E34" w:rsidR="009D39A5" w:rsidRPr="00CC66FD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Life Sciences (LS)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CC66FD" w14:paraId="46AB6175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06D08040" w14:textId="7DC92D78" w:rsidR="009D39A5" w:rsidRPr="00CC66FD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Earth and Space Sciences (ESS)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9D39A5" w:rsidRPr="00CC66FD" w14:paraId="40E8065F" w14:textId="77777777" w:rsidTr="009D39A5">
        <w:trPr>
          <w:trHeight w:val="527"/>
        </w:trPr>
        <w:tc>
          <w:tcPr>
            <w:tcW w:w="6025" w:type="dxa"/>
            <w:shd w:val="clear" w:color="auto" w:fill="FFFFFF" w:themeFill="background1"/>
            <w:vAlign w:val="center"/>
          </w:tcPr>
          <w:p w14:paraId="104B370B" w14:textId="37ADF9E4" w:rsidR="009D39A5" w:rsidRPr="00CC66FD" w:rsidRDefault="009D39A5" w:rsidP="009D39A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Engineering, Technology, and Applications of Science (ETS)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9D39A5" w:rsidRPr="00CC66FD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AB11D0" w:rsidRPr="00CC66FD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AB11D0" w:rsidRPr="00CC66FD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Additional comments on progression(s) within materials: </w:t>
            </w:r>
          </w:p>
          <w:p w14:paraId="3B48F6E8" w14:textId="77777777" w:rsidR="00AB11D0" w:rsidRPr="00CC66FD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AB11D0" w:rsidRPr="00CC66FD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AB11D0" w:rsidRPr="00CC66FD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CC66FD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4FA6D80D" w14:textId="77777777" w:rsidR="003D3ECC" w:rsidRPr="00CC66FD" w:rsidRDefault="003D3ECC">
      <w:pPr>
        <w:rPr>
          <w:rFonts w:ascii="Open Sans" w:hAnsi="Open Sans" w:cs="Open Sans"/>
          <w:b/>
          <w:sz w:val="20"/>
          <w:szCs w:val="20"/>
        </w:rPr>
      </w:pPr>
      <w:r w:rsidRPr="00CC66FD">
        <w:rPr>
          <w:rFonts w:ascii="Open Sans" w:hAnsi="Open Sans" w:cs="Open Sans"/>
          <w:b/>
          <w:sz w:val="20"/>
          <w:szCs w:val="20"/>
        </w:rPr>
        <w:br w:type="page"/>
      </w:r>
    </w:p>
    <w:p w14:paraId="6066A1F5" w14:textId="7644EE38" w:rsidR="00B074F6" w:rsidRPr="00CC66FD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CC66FD">
        <w:rPr>
          <w:rFonts w:ascii="Open Sans" w:hAnsi="Open Sans" w:cs="Open Sans"/>
          <w:b/>
          <w:sz w:val="20"/>
          <w:szCs w:val="20"/>
        </w:rPr>
        <w:lastRenderedPageBreak/>
        <w:t xml:space="preserve">SECTION II: </w:t>
      </w:r>
      <w:r w:rsidRPr="00CC66FD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012DE4B9" w:rsidR="00B074F6" w:rsidRPr="00CC66FD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CC66FD">
        <w:rPr>
          <w:rFonts w:ascii="Open Sans" w:hAnsi="Open Sans" w:cs="Open Sans"/>
          <w:i/>
          <w:sz w:val="20"/>
          <w:szCs w:val="20"/>
        </w:rPr>
        <w:t>All submissions must be aligned to the Tennessee State Science Standards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CC66FD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CC66FD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CC66F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CC66FD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CC66FD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CC66FD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CC66F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CC66F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CC66F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CC66FD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CC66FD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CC66FD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CC66F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CC66F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CC66FD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CC66FD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CC66FD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CC66FD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CC66FD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CC66FD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CC66F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CC66F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CC66F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CC66FD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CC66FD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CC66FD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CC66FD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CC66FD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CC66FD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CC66FD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CC66FD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CC66FD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CC66FD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CC66FD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CC66FD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CC66FD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CC66F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CC66FD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CC66FD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CC66FD" w:rsidRDefault="00541DAA" w:rsidP="00B074F6">
      <w:pPr>
        <w:rPr>
          <w:rFonts w:ascii="Open Sans" w:hAnsi="Open Sans" w:cs="Open Sans"/>
          <w:sz w:val="20"/>
          <w:szCs w:val="20"/>
        </w:rPr>
      </w:pPr>
      <w:r w:rsidRPr="00CC66FD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CC66FD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CC66FD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C66F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CC66FD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CC66FD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CC66FD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CC66F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CC66F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CC66FD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CC66FD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CC66FD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CC66FD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CC66FD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CC66FD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CC66FD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CC66FD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CC66FD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CC66FD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CC66FD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CC66FD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CC66FD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CC66FD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CC66FD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CC66FD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CC66FD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CC66FD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CC66F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CC66F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CC66FD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CC66FD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CC66FD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CC66F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CC66F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CC66FD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CC66FD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CC66FD" w:rsidRDefault="00541DAA" w:rsidP="00D97F33">
      <w:pPr>
        <w:rPr>
          <w:rFonts w:ascii="Open Sans" w:hAnsi="Open Sans" w:cs="Open Sans"/>
        </w:rPr>
      </w:pPr>
      <w:r w:rsidRPr="00CC66FD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CC66FD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CC66FD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C66F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CC66FD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CC66FD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CC66FD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CC66FD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CC66FD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CC66FD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CC66FD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CC66FD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CC66FD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C66FD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CC66FD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C66FD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CC66FD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CC66FD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CC66FD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CC66FD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CC66FD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CC66FD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CC66FD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CC66FD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CC66F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CC66F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CC66FD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CC66FD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CC66FD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CC66F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CC66F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CC66FD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512D928" w14:textId="2D23E297" w:rsidR="00541DAA" w:rsidRPr="00CC66FD" w:rsidRDefault="00541DAA" w:rsidP="00491190">
      <w:pPr>
        <w:keepNext/>
        <w:rPr>
          <w:rFonts w:ascii="Open Sans" w:hAnsi="Open Sans" w:cs="Open Sans"/>
        </w:rPr>
      </w:pPr>
    </w:p>
    <w:p w14:paraId="1C34B581" w14:textId="482D4256" w:rsidR="008E7CEF" w:rsidRPr="00CC66FD" w:rsidRDefault="00541DAA" w:rsidP="00541DAA">
      <w:pPr>
        <w:rPr>
          <w:rFonts w:ascii="Open Sans" w:hAnsi="Open Sans" w:cs="Open Sans"/>
        </w:rPr>
      </w:pPr>
      <w:r w:rsidRPr="00CC66FD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CC66FD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CC66FD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CC66FD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CC66FD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CC66FD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CC66FD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CC66F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CC66F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CC66FD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CC66FD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CC66FD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CC66FD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C66FD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CC66FD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C66FD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CC66FD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CC66FD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CC66FD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CC66FD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CC66FD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CC66FD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CC66FD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CC66FD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CC66FD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C66FD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CC66FD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CC66FD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CC66FD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CC66F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CC66F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CC66FD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CC66FD" w:rsidRDefault="00377EF3" w:rsidP="00491190">
      <w:pPr>
        <w:keepNext/>
        <w:rPr>
          <w:rFonts w:ascii="Open Sans" w:hAnsi="Open Sans" w:cs="Open Sans"/>
        </w:rPr>
      </w:pPr>
    </w:p>
    <w:sectPr w:rsidR="00377EF3" w:rsidRPr="00CC66FD" w:rsidSect="007B491C">
      <w:headerReference w:type="default" r:id="rId9"/>
      <w:footerReference w:type="default" r:id="rId10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50E2D" w14:textId="77777777" w:rsidR="00C22116" w:rsidRDefault="00C22116" w:rsidP="006E0328">
      <w:pPr>
        <w:spacing w:after="0" w:line="240" w:lineRule="auto"/>
      </w:pPr>
      <w:r>
        <w:separator/>
      </w:r>
    </w:p>
  </w:endnote>
  <w:endnote w:type="continuationSeparator" w:id="0">
    <w:p w14:paraId="237A5403" w14:textId="77777777" w:rsidR="00C22116" w:rsidRDefault="00C22116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81DED" w14:textId="77777777" w:rsidR="00EB30B0" w:rsidRDefault="00EB30B0" w:rsidP="00EB30B0">
    <w:pPr>
      <w:pStyle w:val="Footer"/>
    </w:pPr>
    <w:sdt>
      <w:sdtPr>
        <w:id w:val="969169713"/>
        <w:placeholder>
          <w:docPart w:val="7D987C01F2714A4E867F22F09AB4EABC"/>
        </w:placeholder>
        <w:temporary/>
        <w:showingPlcHdr/>
        <w15:appearance w15:val="hidden"/>
      </w:sdtPr>
      <w:sdtContent>
        <w:r>
          <w:t>[Type here]</w:t>
        </w:r>
      </w:sdtContent>
    </w:sdt>
    <w:r>
      <w:tab/>
    </w:r>
    <w:r>
      <w:t>Book Title and ISBN: ______________________________ Level(s)/Course(s): ____________________________________________</w:t>
    </w:r>
  </w:p>
  <w:p w14:paraId="7170C597" w14:textId="77777777" w:rsidR="00EB30B0" w:rsidRDefault="00EB30B0" w:rsidP="00EB30B0">
    <w:pPr>
      <w:pStyle w:val="Footer"/>
    </w:pPr>
  </w:p>
  <w:p w14:paraId="0E59306A" w14:textId="77777777" w:rsidR="00EB30B0" w:rsidRDefault="00EB30B0" w:rsidP="00EB30B0">
    <w:pPr>
      <w:pStyle w:val="Footer"/>
    </w:pPr>
    <w:r>
      <w:t>Publisher: _______________________________                  Copyright: _____________________________</w:t>
    </w:r>
  </w:p>
  <w:p w14:paraId="4AC7E598" w14:textId="0788ED66" w:rsidR="00EB30B0" w:rsidRDefault="00EB30B0" w:rsidP="00EB30B0">
    <w:pPr>
      <w:pStyle w:val="Footer"/>
      <w:tabs>
        <w:tab w:val="clear" w:pos="4680"/>
        <w:tab w:val="clear" w:pos="9360"/>
        <w:tab w:val="left" w:pos="2010"/>
      </w:tabs>
    </w:pPr>
  </w:p>
  <w:p w14:paraId="1EC637F4" w14:textId="77777777" w:rsidR="00AD0F8F" w:rsidRDefault="00AD0F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8C188C" w14:textId="77777777" w:rsidR="00C22116" w:rsidRDefault="00C22116" w:rsidP="006E0328">
      <w:pPr>
        <w:spacing w:after="0" w:line="240" w:lineRule="auto"/>
      </w:pPr>
      <w:r>
        <w:separator/>
      </w:r>
    </w:p>
  </w:footnote>
  <w:footnote w:type="continuationSeparator" w:id="0">
    <w:p w14:paraId="5EB24274" w14:textId="77777777" w:rsidR="00C22116" w:rsidRDefault="00C22116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00400F82" w:rsidR="006E0328" w:rsidRDefault="00C22116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EB30B0">
          <w:rPr>
            <w:noProof/>
          </w:rPr>
          <w:t>13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3170C"/>
    <w:rsid w:val="00045E56"/>
    <w:rsid w:val="00075D27"/>
    <w:rsid w:val="000765B1"/>
    <w:rsid w:val="000779AE"/>
    <w:rsid w:val="00080F91"/>
    <w:rsid w:val="000B01FA"/>
    <w:rsid w:val="000E76A0"/>
    <w:rsid w:val="0011569B"/>
    <w:rsid w:val="00121D82"/>
    <w:rsid w:val="00140572"/>
    <w:rsid w:val="001717C7"/>
    <w:rsid w:val="00190003"/>
    <w:rsid w:val="00193E64"/>
    <w:rsid w:val="001A0BFF"/>
    <w:rsid w:val="001B4AB4"/>
    <w:rsid w:val="001C4EE8"/>
    <w:rsid w:val="00201775"/>
    <w:rsid w:val="00202D40"/>
    <w:rsid w:val="00217F83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237A1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7E28"/>
    <w:rsid w:val="003D2A07"/>
    <w:rsid w:val="003D2E47"/>
    <w:rsid w:val="003D3ECC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A0DCC"/>
    <w:rsid w:val="004A5399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C2244"/>
    <w:rsid w:val="006D7546"/>
    <w:rsid w:val="006E0328"/>
    <w:rsid w:val="006F1D29"/>
    <w:rsid w:val="006F5D7F"/>
    <w:rsid w:val="0072275E"/>
    <w:rsid w:val="00736B9B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32A40"/>
    <w:rsid w:val="00874A46"/>
    <w:rsid w:val="0088089E"/>
    <w:rsid w:val="00894AFE"/>
    <w:rsid w:val="008D23EF"/>
    <w:rsid w:val="008D304D"/>
    <w:rsid w:val="008E398F"/>
    <w:rsid w:val="008E7CEF"/>
    <w:rsid w:val="00920156"/>
    <w:rsid w:val="00943429"/>
    <w:rsid w:val="0095354B"/>
    <w:rsid w:val="009622C6"/>
    <w:rsid w:val="0096475C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87D79"/>
    <w:rsid w:val="00AB11D0"/>
    <w:rsid w:val="00AB2454"/>
    <w:rsid w:val="00AC0AF6"/>
    <w:rsid w:val="00AC0FD3"/>
    <w:rsid w:val="00AC17A0"/>
    <w:rsid w:val="00AD0E58"/>
    <w:rsid w:val="00AD0F8F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787C"/>
    <w:rsid w:val="00C02272"/>
    <w:rsid w:val="00C02EFD"/>
    <w:rsid w:val="00C03012"/>
    <w:rsid w:val="00C13BE0"/>
    <w:rsid w:val="00C22116"/>
    <w:rsid w:val="00C304B6"/>
    <w:rsid w:val="00C55AA8"/>
    <w:rsid w:val="00C5714A"/>
    <w:rsid w:val="00C974F2"/>
    <w:rsid w:val="00CA1224"/>
    <w:rsid w:val="00CC3706"/>
    <w:rsid w:val="00CC66FD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422D4"/>
    <w:rsid w:val="00E5410E"/>
    <w:rsid w:val="00E71DD6"/>
    <w:rsid w:val="00E73DB9"/>
    <w:rsid w:val="00E9799C"/>
    <w:rsid w:val="00EB30B0"/>
    <w:rsid w:val="00ED6CDA"/>
    <w:rsid w:val="00EE77DC"/>
    <w:rsid w:val="00EE7D90"/>
    <w:rsid w:val="00F13532"/>
    <w:rsid w:val="00F220AF"/>
    <w:rsid w:val="00F2287C"/>
    <w:rsid w:val="00F43A8D"/>
    <w:rsid w:val="00F55591"/>
    <w:rsid w:val="00F820FF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D987C01F2714A4E867F22F09AB4E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7D1FC-2166-4717-AEDD-DD211972625C}"/>
      </w:docPartPr>
      <w:docPartBody>
        <w:p w:rsidR="00000000" w:rsidRDefault="009104A3" w:rsidP="009104A3">
          <w:pPr>
            <w:pStyle w:val="7D987C01F2714A4E867F22F09AB4EABC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A3"/>
    <w:rsid w:val="009104A3"/>
    <w:rsid w:val="00F5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D987C01F2714A4E867F22F09AB4EABC">
    <w:name w:val="7D987C01F2714A4E867F22F09AB4EABC"/>
    <w:rsid w:val="009104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6C49-3CBE-403E-8303-C7AD9BA7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6</cp:revision>
  <cp:lastPrinted>2016-11-25T15:56:00Z</cp:lastPrinted>
  <dcterms:created xsi:type="dcterms:W3CDTF">2017-01-24T19:25:00Z</dcterms:created>
  <dcterms:modified xsi:type="dcterms:W3CDTF">2017-05-04T21:30:00Z</dcterms:modified>
</cp:coreProperties>
</file>